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r>
        <w:rPr>
          <w:rFonts w:hint="eastAsia"/>
          <w:lang w:val="en-US" w:eastAsia="zh-CN"/>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ascii="Microsoft YaHei UI" w:hAnsi="Microsoft YaHei UI" w:eastAsia="Microsoft YaHei UI" w:cs="Microsoft YaHei UI"/>
          <w:i w:val="0"/>
          <w:iCs w:val="0"/>
          <w:caps w:val="0"/>
          <w:color w:val="323232"/>
          <w:spacing w:val="30"/>
          <w:sz w:val="21"/>
          <w:szCs w:val="21"/>
        </w:rPr>
      </w:pPr>
      <w:r>
        <w:rPr>
          <w:rFonts w:hint="eastAsia" w:ascii="Microsoft YaHei UI" w:hAnsi="Microsoft YaHei UI" w:eastAsia="Microsoft YaHei UI" w:cs="Microsoft YaHei UI"/>
          <w:i w:val="0"/>
          <w:iCs w:val="0"/>
          <w:caps w:val="0"/>
          <w:color w:val="323232"/>
          <w:spacing w:val="30"/>
          <w:sz w:val="24"/>
          <w:szCs w:val="24"/>
          <w:shd w:val="clear" w:fill="F4FBFF"/>
        </w:rPr>
        <w:t>11月2日，国家能源局公开关于十三届全国人大五次会议第7080号建议的答复复文摘要。摘要指出，围绕以沙漠、戈壁、荒漠为重点的大型风光电基地，促进新能源开发外送，为经济社会发展提供坚强电力保障。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1"/>
          <w:szCs w:val="21"/>
        </w:rPr>
      </w:pPr>
      <w:r>
        <w:rPr>
          <w:rFonts w:hint="eastAsia" w:ascii="Microsoft YaHei UI" w:hAnsi="Microsoft YaHei UI" w:eastAsia="Microsoft YaHei UI" w:cs="Microsoft YaHei UI"/>
          <w:i w:val="0"/>
          <w:iCs w:val="0"/>
          <w:caps w:val="0"/>
          <w:color w:val="323232"/>
          <w:spacing w:val="30"/>
          <w:sz w:val="24"/>
          <w:szCs w:val="24"/>
          <w:shd w:val="clear" w:fill="F4FBFF"/>
        </w:rPr>
        <w:t>实施煤电“三改联动”。重点推动供电煤耗在300克标准煤/千瓦时以上的煤电机组节能降碳改造、</w:t>
      </w:r>
      <w:r>
        <w:rPr>
          <w:rStyle w:val="6"/>
          <w:rFonts w:hint="eastAsia" w:ascii="Microsoft YaHei UI" w:hAnsi="Microsoft YaHei UI" w:eastAsia="Microsoft YaHei UI" w:cs="Microsoft YaHei UI"/>
          <w:b w:val="0"/>
          <w:bCs/>
          <w:i w:val="0"/>
          <w:iCs w:val="0"/>
          <w:caps w:val="0"/>
          <w:color w:val="323232"/>
          <w:spacing w:val="30"/>
          <w:sz w:val="24"/>
          <w:szCs w:val="24"/>
          <w:shd w:val="clear" w:fill="F4FBFF"/>
        </w:rPr>
        <w:t>大型风电光伏基地配套煤电灵活性改造</w:t>
      </w:r>
      <w:r>
        <w:rPr>
          <w:rFonts w:hint="eastAsia" w:ascii="Microsoft YaHei UI" w:hAnsi="Microsoft YaHei UI" w:eastAsia="Microsoft YaHei UI" w:cs="Microsoft YaHei UI"/>
          <w:i w:val="0"/>
          <w:iCs w:val="0"/>
          <w:caps w:val="0"/>
          <w:color w:val="323232"/>
          <w:spacing w:val="30"/>
          <w:sz w:val="24"/>
          <w:szCs w:val="24"/>
          <w:shd w:val="clear" w:fill="F4FBFF"/>
        </w:rPr>
        <w:t>、“三北”地区和工业园区供热改造，提升煤电机组清洁高效水平和促进新能源大规模发展。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300" w:afterAutospacing="0" w:line="420" w:lineRule="atLeast"/>
        <w:ind w:left="0" w:right="0" w:firstLine="420"/>
        <w:jc w:val="both"/>
        <w:rPr>
          <w:rFonts w:hint="eastAsia" w:ascii="Microsoft YaHei UI" w:hAnsi="Microsoft YaHei UI" w:eastAsia="Microsoft YaHei UI" w:cs="Microsoft YaHei UI"/>
          <w:b w:val="0"/>
          <w:bCs/>
          <w:i w:val="0"/>
          <w:iCs w:val="0"/>
          <w:caps w:val="0"/>
          <w:color w:val="323232"/>
          <w:spacing w:val="30"/>
          <w:sz w:val="21"/>
          <w:szCs w:val="21"/>
        </w:rPr>
      </w:pPr>
      <w:r>
        <w:rPr>
          <w:rFonts w:hint="eastAsia" w:ascii="Microsoft YaHei UI" w:hAnsi="Microsoft YaHei UI" w:eastAsia="Microsoft YaHei UI" w:cs="Microsoft YaHei UI"/>
          <w:i w:val="0"/>
          <w:iCs w:val="0"/>
          <w:caps w:val="0"/>
          <w:color w:val="323232"/>
          <w:spacing w:val="30"/>
          <w:sz w:val="24"/>
          <w:szCs w:val="24"/>
          <w:shd w:val="clear" w:fill="F4FBFF"/>
        </w:rPr>
        <w:t>优化信贷结构。发挥人民银行货币政策工具引导和窗口指导作用，定期召开金融机构座谈会、货币政策执行委员会会议等，引导金融机构积极落实绿色金融政策，优化信贷结构，</w:t>
      </w:r>
      <w:r>
        <w:rPr>
          <w:rStyle w:val="6"/>
          <w:rFonts w:hint="eastAsia" w:ascii="Microsoft YaHei UI" w:hAnsi="Microsoft YaHei UI" w:eastAsia="Microsoft YaHei UI" w:cs="Microsoft YaHei UI"/>
          <w:b w:val="0"/>
          <w:bCs/>
          <w:i w:val="0"/>
          <w:iCs w:val="0"/>
          <w:caps w:val="0"/>
          <w:color w:val="323232"/>
          <w:spacing w:val="30"/>
          <w:sz w:val="24"/>
          <w:szCs w:val="24"/>
          <w:shd w:val="clear" w:fill="F4FBFF"/>
        </w:rPr>
        <w:t>将更多金融资源投向风电、光伏发电等可再生能源领域。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30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Fonts w:hint="eastAsia" w:ascii="Microsoft YaHei UI" w:hAnsi="Microsoft YaHei UI" w:eastAsia="Microsoft YaHei UI" w:cs="Microsoft YaHei UI"/>
          <w:i w:val="0"/>
          <w:iCs w:val="0"/>
          <w:caps w:val="0"/>
          <w:color w:val="323232"/>
          <w:spacing w:val="30"/>
          <w:sz w:val="24"/>
          <w:szCs w:val="24"/>
          <w:shd w:val="clear" w:fill="F4FBFF"/>
        </w:rPr>
        <w:t>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0"/>
        <w:jc w:val="center"/>
        <w:rPr>
          <w:rFonts w:hint="eastAsia" w:ascii="Microsoft YaHei UI" w:hAnsi="Microsoft YaHei UI" w:eastAsia="Microsoft YaHei UI" w:cs="Microsoft YaHei UI"/>
          <w:i w:val="0"/>
          <w:iCs w:val="0"/>
          <w:caps w:val="0"/>
          <w:color w:val="323232"/>
          <w:spacing w:val="30"/>
          <w:sz w:val="24"/>
          <w:szCs w:val="24"/>
        </w:rPr>
      </w:pP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300" w:afterAutospacing="0"/>
        <w:ind w:left="0" w:right="0" w:firstLine="0"/>
        <w:jc w:val="center"/>
        <w:rPr>
          <w:rFonts w:hint="eastAsia" w:ascii="Microsoft YaHei UI" w:hAnsi="Microsoft YaHei UI" w:eastAsia="Microsoft YaHei UI" w:cs="Microsoft YaHei UI"/>
          <w:i w:val="0"/>
          <w:iCs w:val="0"/>
          <w:caps w:val="0"/>
          <w:color w:val="323232"/>
          <w:spacing w:val="30"/>
          <w:sz w:val="24"/>
          <w:szCs w:val="24"/>
        </w:rPr>
      </w:pPr>
      <w:r>
        <w:rPr>
          <w:rStyle w:val="6"/>
          <w:rFonts w:hint="eastAsia" w:ascii="Microsoft YaHei UI" w:hAnsi="Microsoft YaHei UI" w:eastAsia="Microsoft YaHei UI" w:cs="Microsoft YaHei UI"/>
          <w:i w:val="0"/>
          <w:iCs w:val="0"/>
          <w:caps w:val="0"/>
          <w:color w:val="323232"/>
          <w:spacing w:val="30"/>
          <w:sz w:val="27"/>
          <w:szCs w:val="27"/>
          <w:shd w:val="clear" w:fill="F4FBFF"/>
        </w:rPr>
        <w:t>关于十三届全国人大五次会议第7080号建议的答复复文摘要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Fonts w:hint="eastAsia" w:ascii="Microsoft YaHei UI" w:hAnsi="Microsoft YaHei UI" w:eastAsia="Microsoft YaHei UI" w:cs="Microsoft YaHei UI"/>
          <w:i w:val="0"/>
          <w:iCs w:val="0"/>
          <w:caps w:val="0"/>
          <w:color w:val="323232"/>
          <w:spacing w:val="30"/>
          <w:sz w:val="24"/>
          <w:szCs w:val="24"/>
          <w:shd w:val="clear" w:fill="F4FBFF"/>
        </w:rPr>
        <w:t>你们提出的关于提升清洁能源供应能力推动河北能源转型的建议收悉，现答复如下：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Fonts w:hint="eastAsia" w:ascii="Microsoft YaHei UI" w:hAnsi="Microsoft YaHei UI" w:eastAsia="Microsoft YaHei UI" w:cs="Microsoft YaHei UI"/>
          <w:i w:val="0"/>
          <w:iCs w:val="0"/>
          <w:caps w:val="0"/>
          <w:color w:val="323232"/>
          <w:spacing w:val="30"/>
          <w:sz w:val="24"/>
          <w:szCs w:val="24"/>
          <w:shd w:val="clear" w:fill="F4FBFF"/>
        </w:rPr>
        <w:t>围绕以沙漠、戈壁、荒漠为重点的大型风光电基地，合理规划建设清洁高效先进节能的支撑性煤电，充分发挥煤电基础保障和系统调节作用，进一步夯实煤电的电力保供“压舱石”作用，促进新能源开发外送，为经济社会发展提供坚强电力保障，是党中央、国务院为推动实现“双碳”目标作出的重大决策部署。你们的建议对促进河北能源供给清洁低碳转型、切实提升电力供应保障能力具有较强的借鉴意义和参考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Style w:val="6"/>
          <w:rFonts w:hint="eastAsia" w:ascii="Microsoft YaHei UI" w:hAnsi="Microsoft YaHei UI" w:eastAsia="Microsoft YaHei UI" w:cs="Microsoft YaHei UI"/>
          <w:i w:val="0"/>
          <w:iCs w:val="0"/>
          <w:caps w:val="0"/>
          <w:color w:val="323232"/>
          <w:spacing w:val="30"/>
          <w:sz w:val="24"/>
          <w:szCs w:val="24"/>
          <w:shd w:val="clear" w:fill="F4FBFF"/>
        </w:rPr>
        <w:t>一、关于加快蒙西—京津冀电力通道及送端电源建设前期工作的建议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Fonts w:hint="eastAsia" w:ascii="Microsoft YaHei UI" w:hAnsi="Microsoft YaHei UI" w:eastAsia="Microsoft YaHei UI" w:cs="Microsoft YaHei UI"/>
          <w:i w:val="0"/>
          <w:iCs w:val="0"/>
          <w:caps w:val="0"/>
          <w:color w:val="323232"/>
          <w:spacing w:val="30"/>
          <w:sz w:val="24"/>
          <w:szCs w:val="24"/>
          <w:shd w:val="clear" w:fill="F4FBFF"/>
        </w:rPr>
        <w:t>跨省区输电通道是结合电力供应保障和清洁能源外送消纳需求，由国家总体统筹布局的重大项目，通道规划中需要考虑电力市场空间、电网输电技术、国土空间规划、生态保护红线等因素。内蒙古自治区拥有丰富的煤炭和风光资源，是我国西部地区重要的能源基地和电力输出省份，为进一步贯彻落实党中央、国务院关于做好电力供应保障工作的重要决策部署，我局在“十四五”规划中提出了实施蒙西至京津冀输电通道，进一步提高蒙西地区电力外送能力，确保京津唐和华北地区电力安全稳定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Fonts w:hint="eastAsia" w:ascii="Microsoft YaHei UI" w:hAnsi="Microsoft YaHei UI" w:eastAsia="Microsoft YaHei UI" w:cs="Microsoft YaHei UI"/>
          <w:i w:val="0"/>
          <w:iCs w:val="0"/>
          <w:caps w:val="0"/>
          <w:color w:val="323232"/>
          <w:spacing w:val="30"/>
          <w:sz w:val="24"/>
          <w:szCs w:val="24"/>
          <w:shd w:val="clear" w:fill="F4FBFF"/>
        </w:rPr>
        <w:t>为做好蒙西至京津冀输电通道配套电源规划建设工作，确保网源协调发展、电力系统安全稳定运行和新能源可靠并网消纳，我局已研究确定跨省区输电通道配套电源规划建设工作程序，委托咨询机构抓紧开展蒙西至京津冀输电通道配套电源方案评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Fonts w:hint="eastAsia" w:ascii="Microsoft YaHei UI" w:hAnsi="Microsoft YaHei UI" w:eastAsia="Microsoft YaHei UI" w:cs="Microsoft YaHei UI"/>
          <w:i w:val="0"/>
          <w:iCs w:val="0"/>
          <w:caps w:val="0"/>
          <w:color w:val="323232"/>
          <w:spacing w:val="30"/>
          <w:sz w:val="24"/>
          <w:szCs w:val="24"/>
          <w:shd w:val="clear" w:fill="F4FBFF"/>
        </w:rPr>
        <w:t>下一步，我局将充分发挥“十四五”跨省跨区输电工程调度协调机制作用，协调解决蒙西至京津冀输电通道前期工作中遇到的问题和困难，抓紧明确配套电源方案，科学研究论证、加快前期工作进展，力争工程尽快具备核准建设条件，早日开工建设，“十四五”建成投产发挥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Style w:val="6"/>
          <w:rFonts w:hint="eastAsia" w:ascii="Microsoft YaHei UI" w:hAnsi="Microsoft YaHei UI" w:eastAsia="Microsoft YaHei UI" w:cs="Microsoft YaHei UI"/>
          <w:i w:val="0"/>
          <w:iCs w:val="0"/>
          <w:caps w:val="0"/>
          <w:color w:val="323232"/>
          <w:spacing w:val="30"/>
          <w:sz w:val="24"/>
          <w:szCs w:val="24"/>
          <w:shd w:val="clear" w:fill="F4FBFF"/>
        </w:rPr>
        <w:t>二、关于坚持“等容量、减煤量、减排放”原则，允许河北利用关停机组容量建设大型高效煤电机组，发挥煤电作为基础保障性和系统调节性电源的作用的建议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Fonts w:hint="eastAsia" w:ascii="Microsoft YaHei UI" w:hAnsi="Microsoft YaHei UI" w:eastAsia="Microsoft YaHei UI" w:cs="Microsoft YaHei UI"/>
          <w:i w:val="0"/>
          <w:iCs w:val="0"/>
          <w:caps w:val="0"/>
          <w:color w:val="323232"/>
          <w:spacing w:val="30"/>
          <w:sz w:val="24"/>
          <w:szCs w:val="24"/>
          <w:shd w:val="clear" w:fill="F4FBFF"/>
        </w:rPr>
        <w:t>充分发挥煤电的基础保障作用和灵活调节作用，对推动煤电清洁低碳高效转型和促进新能源大规模开发消纳至关重要。我局高度重视煤电行业清洁高效发展，积极推动煤电结构优化和转型升级，2021年10月，联合国家发展改革委印发《全国煤电机组改造升级实施方案》，统筹煤炭清洁高效利用和新能源开发消纳调峰需要，推动煤电机组节能降碳改造、灵活性改造、供热改造“三改联动”。2022年4月，举办全国煤电“三改联动”典型案例和技术推介会，进一步推广煤电机组改造升级成熟适用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Fonts w:hint="eastAsia" w:ascii="Microsoft YaHei UI" w:hAnsi="Microsoft YaHei UI" w:eastAsia="Microsoft YaHei UI" w:cs="Microsoft YaHei UI"/>
          <w:i w:val="0"/>
          <w:iCs w:val="0"/>
          <w:caps w:val="0"/>
          <w:color w:val="323232"/>
          <w:spacing w:val="30"/>
          <w:sz w:val="24"/>
          <w:szCs w:val="24"/>
          <w:shd w:val="clear" w:fill="F4FBFF"/>
        </w:rPr>
        <w:t>2021年以来，陆续推动河北省符合条件的落后煤电机组淘汰关停，进一步改善环境和降低碳排放，促进煤电结构优化调整。目前，我局正组织相关评估机构抓紧对河北省“十四五”中后期拟淘汰的落后煤电项目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Fonts w:hint="eastAsia" w:ascii="Microsoft YaHei UI" w:hAnsi="Microsoft YaHei UI" w:eastAsia="Microsoft YaHei UI" w:cs="Microsoft YaHei UI"/>
          <w:i w:val="0"/>
          <w:iCs w:val="0"/>
          <w:caps w:val="0"/>
          <w:color w:val="323232"/>
          <w:spacing w:val="30"/>
          <w:sz w:val="24"/>
          <w:szCs w:val="24"/>
          <w:shd w:val="clear" w:fill="F4FBFF"/>
        </w:rPr>
        <w:t>下一步，我局将继续推动煤电行业清洁低碳、安全高效发展。一是根据发展需要合理建设先进煤电。立足以煤为主的基本国情，坚持着眼当前、谋划长远，新建项目优先采用大容量、高参数、低能耗、调节能力好的发电机组。二是优化存量煤电机组结构。统筹行业发展和电力保供，按照延寿运行、淘汰关停、“关而不拆”转应急备用等方式分类处置、逐步有序淘汰煤电落后产能，加大力度规范管理和整治燃煤自备电厂。三是大力实施煤电“三改联动”。重点推动供电煤耗在300克标准煤/千瓦时以上的煤电机组节能降碳改造、大型风电光伏基地配套煤电灵活性改造、“三北”地区和工业园区供热改造，提升煤电机组清洁高效水平和促进新能源大规模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Style w:val="6"/>
          <w:rFonts w:hint="eastAsia" w:ascii="Microsoft YaHei UI" w:hAnsi="Microsoft YaHei UI" w:eastAsia="Microsoft YaHei UI" w:cs="Microsoft YaHei UI"/>
          <w:i w:val="0"/>
          <w:iCs w:val="0"/>
          <w:caps w:val="0"/>
          <w:color w:val="323232"/>
          <w:spacing w:val="30"/>
          <w:sz w:val="24"/>
          <w:szCs w:val="24"/>
          <w:shd w:val="clear" w:fill="F4FBFF"/>
        </w:rPr>
        <w:t>三、关于充分考虑河北资源禀赋和转型压力，在财政金融等方面研究出台支持政策，促进能源清洁低碳转型的建议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Fonts w:hint="eastAsia" w:ascii="Microsoft YaHei UI" w:hAnsi="Microsoft YaHei UI" w:eastAsia="Microsoft YaHei UI" w:cs="Microsoft YaHei UI"/>
          <w:i w:val="0"/>
          <w:iCs w:val="0"/>
          <w:caps w:val="0"/>
          <w:color w:val="323232"/>
          <w:spacing w:val="30"/>
          <w:sz w:val="24"/>
          <w:szCs w:val="24"/>
          <w:shd w:val="clear" w:fill="F4FBFF"/>
        </w:rPr>
        <w:t>中国人民银行积极关注、支持河北经济高质量发展，持续深化供给侧结构性改革，加快构建绿色金融体系，重点支持河北省可再生能源、清洁能源、绿色建筑、绿色交通等绿色产业领域发展取得新成效。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Fonts w:hint="eastAsia" w:ascii="Microsoft YaHei UI" w:hAnsi="Microsoft YaHei UI" w:eastAsia="Microsoft YaHei UI" w:cs="Microsoft YaHei UI"/>
          <w:i w:val="0"/>
          <w:iCs w:val="0"/>
          <w:caps w:val="0"/>
          <w:color w:val="323232"/>
          <w:spacing w:val="30"/>
          <w:sz w:val="24"/>
          <w:szCs w:val="24"/>
          <w:shd w:val="clear" w:fill="F4FBFF"/>
        </w:rPr>
        <w:t>一是构建绿色金融政策体系。2021年末，指导人民银行石家庄中心支行联合河北省发展改革委等七部门制定促进河北省绿色金融发展的实施意见，提出搭建多层次绿色金融组织体系、提升绿色金融服务水平、拓宽绿色融资渠道、完善绿色金融基础设施建设、加快推进绿色金融改革创新、加强绿色金融保障等，为绿色金融制度体系构建了顶层设计。围绕首都生态环境支撑区和水源涵养区功能定位，紧抓联合北京举办2022年冬奥会和争创国家级氢能产业示范城契机，大力发展绿色金融，助推张家口市完善氢能产业链条，建设氢能应用城市。围绕雄安新区高标准建设任务，开展绿色金融创新，有力支持雄安新区更好实现双碳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Fonts w:hint="eastAsia" w:ascii="Microsoft YaHei UI" w:hAnsi="Microsoft YaHei UI" w:eastAsia="Microsoft YaHei UI" w:cs="Microsoft YaHei UI"/>
          <w:i w:val="0"/>
          <w:iCs w:val="0"/>
          <w:caps w:val="0"/>
          <w:color w:val="323232"/>
          <w:spacing w:val="30"/>
          <w:sz w:val="24"/>
          <w:szCs w:val="24"/>
          <w:shd w:val="clear" w:fill="F4FBFF"/>
        </w:rPr>
        <w:t>二是优化信贷结构。发挥人民银行货币政策工具引导和窗口指导作用，定期召开金融机构座谈会、货币政策执行委员会会议等，引导金融机构积极落实绿色金融政策，优化信贷结构，将更多金融资源投向风电、光伏发电等可再生能源领域。按季开展银行业金融机构绿色金融评价工作，发挥考核指挥棒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Fonts w:hint="eastAsia" w:ascii="Microsoft YaHei UI" w:hAnsi="Microsoft YaHei UI" w:eastAsia="Microsoft YaHei UI" w:cs="Microsoft YaHei UI"/>
          <w:i w:val="0"/>
          <w:iCs w:val="0"/>
          <w:caps w:val="0"/>
          <w:color w:val="323232"/>
          <w:spacing w:val="30"/>
          <w:sz w:val="24"/>
          <w:szCs w:val="24"/>
          <w:shd w:val="clear" w:fill="F4FBFF"/>
        </w:rPr>
        <w:t>三是加强货币政策工具运用。创设碳减排支持工具和煤炭清洁高效利用专项再贷款两项货币政策工具，引导金融机构将信贷资源向绿色发展和能源转型领域倾斜。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eastAsia" w:ascii="Microsoft YaHei UI" w:hAnsi="Microsoft YaHei UI" w:eastAsia="Microsoft YaHei UI" w:cs="Microsoft YaHei UI"/>
          <w:i w:val="0"/>
          <w:iCs w:val="0"/>
          <w:caps w:val="0"/>
          <w:color w:val="323232"/>
          <w:spacing w:val="30"/>
          <w:sz w:val="24"/>
          <w:szCs w:val="24"/>
        </w:rPr>
      </w:pPr>
      <w:r>
        <w:rPr>
          <w:rFonts w:hint="eastAsia" w:ascii="Microsoft YaHei UI" w:hAnsi="Microsoft YaHei UI" w:eastAsia="Microsoft YaHei UI" w:cs="Microsoft YaHei UI"/>
          <w:i w:val="0"/>
          <w:iCs w:val="0"/>
          <w:caps w:val="0"/>
          <w:color w:val="323232"/>
          <w:spacing w:val="30"/>
          <w:sz w:val="24"/>
          <w:szCs w:val="24"/>
          <w:shd w:val="clear" w:fill="F4FBFF"/>
        </w:rPr>
        <w:t>下一步，中国人民银行一是发挥产业财税金融政策合力。加强与发改、工信、生态环保等部门协作，进一步畅通政、银、企三方沟通交流渠道，深入挖掘河北省产业、能源转型升级重大项目，满足项目融资需求。二是发挥碳减排支持工具牵引带动作用。引导金融机构更加充分认识绿色转型的重要意义，为具有显著碳减排效应的重点项目提供优惠利率融资，加大绿色项目储备力度，创新金融产品和服务。三是围绕张家口“首都水源涵养功能区”和“生态环境支撑区”功能定位，出台绿色金融支持张家口氢能全产业链发展指导意见。开展氢能产业园区、集群融资对接，推进金融支持京津冀氢能全产业链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420" w:lineRule="atLeast"/>
        <w:ind w:left="0" w:right="0" w:firstLine="420"/>
        <w:jc w:val="both"/>
        <w:rPr>
          <w:rFonts w:hint="default" w:ascii="Microsoft YaHei UI" w:hAnsi="Microsoft YaHei UI" w:eastAsia="Microsoft YaHei UI" w:cs="Microsoft YaHei UI"/>
          <w:i w:val="0"/>
          <w:iCs w:val="0"/>
          <w:caps w:val="0"/>
          <w:color w:val="323232"/>
          <w:spacing w:val="30"/>
          <w:sz w:val="24"/>
          <w:szCs w:val="24"/>
          <w:shd w:val="clear" w:fill="F4FBFF"/>
          <w:lang w:val="en-US" w:eastAsia="zh-CN"/>
        </w:rPr>
      </w:pPr>
      <w:r>
        <w:rPr>
          <w:rFonts w:hint="eastAsia" w:ascii="Microsoft YaHei UI" w:hAnsi="Microsoft YaHei UI" w:eastAsia="Microsoft YaHei UI" w:cs="Microsoft YaHei UI"/>
          <w:i w:val="0"/>
          <w:iCs w:val="0"/>
          <w:caps w:val="0"/>
          <w:color w:val="323232"/>
          <w:spacing w:val="30"/>
          <w:sz w:val="24"/>
          <w:szCs w:val="24"/>
          <w:shd w:val="clear" w:fill="F4FBFF"/>
        </w:rPr>
        <w:t>感谢你们对国家能源工作的关心和理解，希望今后能得到你们更多的支持和指导。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2M2Q0NjEzM2VhOWFkODEwYjQyYWZjNmExZWRlNmUifQ=="/>
  </w:docVars>
  <w:rsids>
    <w:rsidRoot w:val="00000000"/>
    <w:rsid w:val="1BC63A23"/>
    <w:rsid w:val="58E80192"/>
    <w:rsid w:val="603C4711"/>
    <w:rsid w:val="747B41AB"/>
    <w:rsid w:val="7FE10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3242</Words>
  <Characters>3277</Characters>
  <Lines>0</Lines>
  <Paragraphs>0</Paragraphs>
  <TotalTime>38</TotalTime>
  <ScaleCrop>false</ScaleCrop>
  <LinksUpToDate>false</LinksUpToDate>
  <CharactersWithSpaces>3278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2022-11-04T00:32:00Z</dcterms:created>
  <dc:creator>Administrator</dc:creator>
  <cp:lastModifiedBy>秋儿妈</cp:lastModifiedBy>
  <cp:lastPrinted>2022-11-04T01:12:00Z</cp:lastPrinted>
  <dcterms:modified xsi:type="dcterms:W3CDTF">2022-11-04T04:29:18Z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398E97AF98AE4505B65BC1AE2833A46B</vt:lpwstr>
  </property>
</Properties>
</file>