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6" w:beforeAutospacing="0" w:after="616" w:afterAutospacing="0" w:line="520" w:lineRule="exact"/>
        <w:ind w:right="1170"/>
        <w:jc w:val="both"/>
        <w:textAlignment w:val="baseline"/>
        <w:rPr>
          <w:rFonts w:hint="eastAsia" w:ascii="仿宋" w:hAnsi="仿宋" w:eastAsia="仿宋" w:cs="仿宋"/>
          <w:sz w:val="32"/>
          <w:szCs w:val="32"/>
        </w:rPr>
      </w:pPr>
      <w:bookmarkStart w:id="0" w:name="_GoBack"/>
      <w:bookmarkEnd w:id="0"/>
      <w:r>
        <w:rPr>
          <w:rFonts w:hint="eastAsia" w:ascii="仿宋" w:hAnsi="仿宋" w:eastAsia="仿宋" w:cs="仿宋"/>
          <w:i w:val="0"/>
          <w:iCs w:val="0"/>
          <w:caps w:val="0"/>
          <w:color w:val="333333"/>
          <w:spacing w:val="0"/>
          <w:sz w:val="32"/>
          <w:szCs w:val="32"/>
          <w:vertAlign w:val="baseline"/>
        </w:rPr>
        <w:t>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6" w:beforeAutospacing="0" w:after="616" w:afterAutospacing="0" w:line="520" w:lineRule="exact"/>
        <w:ind w:left="1170" w:right="1170"/>
        <w:jc w:val="center"/>
        <w:textAlignment w:val="baseline"/>
        <w:rPr>
          <w:rFonts w:hint="eastAsia" w:ascii="仿宋" w:hAnsi="仿宋" w:eastAsia="仿宋" w:cs="仿宋"/>
          <w:sz w:val="32"/>
          <w:szCs w:val="32"/>
        </w:rPr>
      </w:pPr>
      <w:r>
        <w:rPr>
          <w:rFonts w:hint="eastAsia" w:ascii="仿宋" w:hAnsi="仿宋" w:eastAsia="仿宋" w:cs="仿宋"/>
          <w:b/>
          <w:bCs/>
          <w:i w:val="0"/>
          <w:iCs w:val="0"/>
          <w:caps w:val="0"/>
          <w:color w:val="333333"/>
          <w:spacing w:val="0"/>
          <w:sz w:val="32"/>
          <w:szCs w:val="32"/>
          <w:vertAlign w:val="baseline"/>
        </w:rPr>
        <w:t>湖南省进一步构建高质量充电基础设施体系的实施意见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6" w:beforeAutospacing="0" w:after="616" w:afterAutospacing="0" w:line="520" w:lineRule="exact"/>
        <w:ind w:right="1170" w:firstLine="640" w:firstLineChars="200"/>
        <w:jc w:val="both"/>
        <w:textAlignment w:val="baseline"/>
        <w:rPr>
          <w:rFonts w:hint="eastAsia" w:ascii="仿宋" w:hAnsi="仿宋" w:eastAsia="仿宋" w:cs="仿宋"/>
          <w:i w:val="0"/>
          <w:iCs w:val="0"/>
          <w:caps w:val="0"/>
          <w:color w:val="333333"/>
          <w:spacing w:val="0"/>
          <w:sz w:val="32"/>
          <w:szCs w:val="32"/>
          <w:vertAlign w:val="baseline"/>
        </w:rPr>
      </w:pPr>
      <w:r>
        <w:rPr>
          <w:rFonts w:hint="eastAsia" w:ascii="仿宋" w:hAnsi="仿宋" w:eastAsia="仿宋" w:cs="仿宋"/>
          <w:i w:val="0"/>
          <w:iCs w:val="0"/>
          <w:caps w:val="0"/>
          <w:color w:val="333333"/>
          <w:spacing w:val="0"/>
          <w:sz w:val="32"/>
          <w:szCs w:val="32"/>
          <w:vertAlign w:val="baseline"/>
        </w:rPr>
        <w:t>为贯彻落实《国务院办公厅关于进一步构建高质量充电基础设施体系的指导意见》(国办发〔2023〕19号)、《国家发展改革委 国家能源局关于加快推进充电基础设施建设 更好支持新能源汽车下乡和乡村振兴的实施意见》(发改综合〔2023〕545号)等文件精神,进一步构建我省高质量充电基础设施体系,满足人民群众绿色出行充电需求,更好支撑新能源汽车产业发展,助力实现碳达峰碳中和目标,结合我省实际,制定本实施意见。</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6" w:beforeAutospacing="0" w:after="616" w:afterAutospacing="0" w:line="520" w:lineRule="exact"/>
        <w:ind w:right="1170" w:firstLine="643" w:firstLineChars="200"/>
        <w:jc w:val="both"/>
        <w:textAlignment w:val="baseline"/>
        <w:rPr>
          <w:rFonts w:hint="eastAsia" w:ascii="仿宋" w:hAnsi="仿宋" w:eastAsia="仿宋" w:cs="仿宋"/>
          <w:b/>
          <w:bCs/>
          <w:i w:val="0"/>
          <w:iCs w:val="0"/>
          <w:caps w:val="0"/>
          <w:color w:val="333333"/>
          <w:spacing w:val="0"/>
          <w:sz w:val="32"/>
          <w:szCs w:val="32"/>
          <w:vertAlign w:val="baseline"/>
        </w:rPr>
      </w:pPr>
      <w:r>
        <w:rPr>
          <w:rFonts w:hint="eastAsia" w:ascii="仿宋" w:hAnsi="仿宋" w:eastAsia="仿宋" w:cs="仿宋"/>
          <w:b/>
          <w:bCs/>
          <w:i w:val="0"/>
          <w:iCs w:val="0"/>
          <w:caps w:val="0"/>
          <w:color w:val="333333"/>
          <w:spacing w:val="0"/>
          <w:sz w:val="32"/>
          <w:szCs w:val="32"/>
          <w:vertAlign w:val="baseline"/>
        </w:rPr>
        <w:t>总体要求</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6" w:beforeAutospacing="0" w:after="616" w:afterAutospacing="0" w:line="520" w:lineRule="exact"/>
        <w:ind w:leftChars="200" w:right="1170" w:rightChars="0" w:firstLine="640" w:firstLineChars="200"/>
        <w:jc w:val="both"/>
        <w:textAlignment w:val="baseline"/>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vertAlign w:val="baseline"/>
        </w:rPr>
        <w:t>以习近平新时代中国特色社会主义思想为指导,深入贯彻党的二十大精神,按照“科学布局、适度超前、创新融合、安全便捷”的原则,坚持需求牵引与供给创新,加强规划引领和统筹谋划,加快充电基础设施优化布局,基本形成结构完善的城市充电网络、便捷高效的城际充电网络和有效覆盖的农村充电网络,不断提升互联互通和智能化水平,进一步构建高质量充电基础设施体系,更好地服务湖南经济高质量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6" w:beforeAutospacing="0" w:after="616" w:afterAutospacing="0" w:line="520" w:lineRule="exact"/>
        <w:ind w:right="1170" w:firstLine="640" w:firstLineChars="200"/>
        <w:jc w:val="both"/>
        <w:textAlignment w:val="baseline"/>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vertAlign w:val="baseline"/>
        </w:rPr>
        <w:t>到2025年,城市公共充电服务网络功能完善,公路沿线充电基础设施布局优化,农村地区充电设施有效覆盖,基本形成城市面状、公路线状、乡村点状布局的充电网络,重点城市经营性停车场具备规范充电条件的车位比例力争超过城市注册电动汽车比例,农村地区实现充电站“乡乡全覆盖”、充电桩“村村全覆盖”,全省累计建成充电桩40万个以上,车桩增量比力争达到2:1。到2030年,基本建成覆盖广泛、规模适度、通用开放、智能高效、业态丰富的高质量充电基础设施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6" w:beforeAutospacing="0" w:after="616" w:afterAutospacing="0" w:line="520" w:lineRule="exact"/>
        <w:ind w:right="1170" w:firstLine="643" w:firstLineChars="200"/>
        <w:jc w:val="both"/>
        <w:textAlignment w:val="baseline"/>
        <w:rPr>
          <w:rFonts w:hint="eastAsia" w:ascii="仿宋" w:hAnsi="仿宋" w:eastAsia="仿宋" w:cs="仿宋"/>
          <w:sz w:val="32"/>
          <w:szCs w:val="32"/>
        </w:rPr>
      </w:pPr>
      <w:r>
        <w:rPr>
          <w:rFonts w:hint="eastAsia" w:ascii="仿宋" w:hAnsi="仿宋" w:eastAsia="仿宋" w:cs="仿宋"/>
          <w:b/>
          <w:bCs/>
          <w:i w:val="0"/>
          <w:iCs w:val="0"/>
          <w:caps w:val="0"/>
          <w:color w:val="333333"/>
          <w:spacing w:val="0"/>
          <w:sz w:val="32"/>
          <w:szCs w:val="32"/>
          <w:vertAlign w:val="baseline"/>
        </w:rPr>
        <w:t>二、优化完善充电网络布局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6" w:beforeAutospacing="0" w:after="616" w:afterAutospacing="0" w:line="520" w:lineRule="exact"/>
        <w:ind w:right="1170" w:firstLine="640" w:firstLineChars="200"/>
        <w:jc w:val="both"/>
        <w:textAlignment w:val="baseline"/>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vertAlign w:val="baseline"/>
        </w:rPr>
        <w:t>(一)科学合理编制充电基础设施规划。强化充电基础设施发展顶层设计和统一规划,以县市区域为基本单元,以城市道路交通网络为依托,以“两区”(居住区、办公区)、“三中心”(商业中心、工业中心、休闲中心)为重点,分场景优化结构,实现充换电基础设施规划与国土空间、电力、交通等规划一体衔接,并纳入国土空间规划“一张图”实施监督信息系统。推动城市充电网络从中心城区向城区边缘、从优先发展区域向其他区域有效延伸,全面优化充电网络布局,提升居民绿色出行通达能力。(责任单位:省发展改革委、省自然资源厅、省住房城乡建设厅、省交通运输厅、各电网企业。按职责分工,下同。以下均需各市州、县市区人民政府落实,不再列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6" w:beforeAutospacing="0" w:after="616" w:afterAutospacing="0" w:line="520" w:lineRule="exact"/>
        <w:ind w:right="1170" w:firstLine="640" w:firstLineChars="200"/>
        <w:jc w:val="both"/>
        <w:textAlignment w:val="baseline"/>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vertAlign w:val="baseline"/>
        </w:rPr>
        <w:t>(二)优化完善城市公共充电服务网络。推进城市充电基础设施与停车设施一体规划、建设和管理,实现城市各类停车场集中式公共充电设施全面覆盖。合理利用城市道路邻近空间,坚持快充为主、慢充为辅相结合,围绕“两区”、“三中心”等城市专用和公用区域,因地制宜布局公共充电基础设施,鼓励建设充换电一体化场站,逐步提高换电设施的通用性、兼容性,促进城市充电网络与县、乡充电网络有效衔接,力争到2025年底前,城市地面公共停车场充电基础设施配建比例不低于车位的20%。发挥党政机关、事业单位示范引领作用,利用院内停车场所建设快慢结合、智能高效的公共充电设施,新增充电设施应具备智能有序功能,加快既有充电设施智能化改造,公共机构、国有企业等单位内部停车场按不低于30%的车位比例建设充电设施,2025年底前基本实现全覆盖,鼓励其他企业、单位参照以上标准配建,并根据实际情况全天候或分时段对外开放。(责任单位:省发展改革委、省机关事务局、省自然资源厅、省住房城乡建设厅、省国资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6" w:beforeAutospacing="0" w:after="616" w:afterAutospacing="0" w:line="520" w:lineRule="exact"/>
        <w:ind w:right="1170" w:firstLine="640" w:firstLineChars="200"/>
        <w:jc w:val="both"/>
        <w:textAlignment w:val="baseline"/>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vertAlign w:val="baseline"/>
        </w:rPr>
        <w:t>(三)有序推进公路沿线充电基础设施建设。推动具备条件的普通国省道和重要县乡道路沿线科学布设充电基础设施,加快补齐省内城市之间路网充电基础设施短板,强化不同城市充电服务数据交换共享,实现跨区域充电服务有效衔接,提升新能源汽车在城市群、都市圈及重点城市间的通达能力。在确保安全前提下,积极推进具备条件的加油(气)站配建公共快充和换电设施,建设一批集加油(气)、充换电等业务一体的综合供能服务站。新建高速公路服务区应按照不低于30%的车位比例同步设计、配建充电设施或预留建设条件,加快升级改造既有充电设施,新增设施原则上采用大功率充电技术,通过提高充电功率、配置临时性充电设施等,满足高峰时段充电需求,提升重大节假日充电保障能力。到2025年底前,高速公路和在役普通国省道沿线充电基础设施进一步加密优化,农村公路沿线有效覆盖,基本形成充电及时高效、出行保障有力的公路沿线充电网络。(责任单位:省交通运输厅、省发展改革委、省商务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6" w:beforeAutospacing="0" w:after="616" w:afterAutospacing="0" w:line="520" w:lineRule="exact"/>
        <w:ind w:right="1170" w:firstLine="640" w:firstLineChars="200"/>
        <w:jc w:val="both"/>
        <w:textAlignment w:val="baseline"/>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vertAlign w:val="baseline"/>
        </w:rPr>
        <w:t>(四)积极推进居住区充电基础设施建设。以市州为单位加快制定居住区充电基础设施建设管理指南,落实街道办事处、居民委员会等基层管理机构责任,2024年底前建立健全“一站式”协调机制和投诉处理机制,推进居住区固定车位充电设施“能建尽建”。严格落实新建小区固定车位100%预留安装条件,满足直接装表接电要求,同时配建不低于固定车位25%的充电设施。对电力容量不足的专变小区,由房地产开发企业、业主委员会、物业服务企业或小区归属单位等主体实施配电网改造;既有公变小区,由相关业主单位提供场地支持,电网企业实施增容改造,满足居民报装需求。对不符合消防安全条件的地下、半地下车库,可由业主委员会合理使用物业专项维修资金,实施消防设施改造,满足建桩条件。对于没有固定车位的老旧小区,可就近利用小区周边空地或道路两侧规划建设公共充电设施,实现居民“就近就便”充电。对建成时间较长的老旧小区或难以实施电力设施增容改造的小区,鼓励引入充电运营企业采用“统建统服”模式,有偿提供充电设施统一规划、新建、改造和运营服务,有效缓解小区充电难问题。已实施“统建统服”小区原则上不再接受充电桩个人独立报装。到2025年底前,各县市区均建有“统建统服”示范小区,居住区公共车位充电设施实现有效覆盖。(责任单位:省住房城乡建设厅、省发展改革委、省自然资源厅、省公安厅、省消防救援总队、各电网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6" w:beforeAutospacing="0" w:after="616" w:afterAutospacing="0" w:line="520" w:lineRule="exact"/>
        <w:ind w:right="1170" w:firstLine="640" w:firstLineChars="200"/>
        <w:jc w:val="both"/>
        <w:textAlignment w:val="baseline"/>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vertAlign w:val="baseline"/>
        </w:rPr>
        <w:t>(五)加快推进农村地区充电基础设施建设。优先在乡镇机关、县乡企事业单位、商业建筑、交通枢纽(场站)、公路沿线服务区(站)等场所适度超前布局公共充电设施,促进城乡充电网络融合发展,并紧密衔接乡村建设、村庄布局等专项规划,推动向易地搬迁集中安置区、乡村旅游重点村等延伸。统筹考虑乡村充电网络建设和输配电网发展,开展配套电网建设改造,补齐农村地区配电能力短板,保持合理的容载比和供电裕度,提高供电服务能力。积极发挥电网企业社会责任,到2025年底前,全省乡镇供电营业窗口(供电所)充电设施实现全覆盖,满足农村居民生产生活补能需求。支持各地结合新型城镇化建设、美丽乡村建设、旅游开发,探索推动充换电设施与分布式光伏发电、停车场、加油(气)站等设施一体化发展,鼓励在基础较好的地区创建充电基础设施建设应用示范县和示范乡镇(街道)、示范村(社区)。到2025年底前,全省建成14个重点充电示范县(市、区)、200个重点充电示范乡镇(街道)、2000个重点充电示范村(社区),基本实现“市有示范县(市、区)、县有示范乡镇(街道)、乡有示范村(社区)”的目标,更好支持新能源汽车下乡。(责任单位:省发展改革委、省农业农村厅、省自然资源厅、省商务厅、各电网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6" w:beforeAutospacing="0" w:after="616" w:afterAutospacing="0" w:line="520" w:lineRule="exact"/>
        <w:ind w:right="1170" w:firstLine="640" w:firstLineChars="200"/>
        <w:jc w:val="both"/>
        <w:textAlignment w:val="baseline"/>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vertAlign w:val="baseline"/>
        </w:rPr>
        <w:t>(六)促进旅游景区充电基础设施建设。结合旅游发展规划制定旅游景区充电基础设施建设专项行动方案,将公共充电设施建设纳入乡村旅游示范县、文旅振兴乡村样板村创建内容和等级旅游景区复核内容,加快推动省内A级以上景区、乡村旅游重点镇(村)周边服务场所配建快、慢结合的充电设施,到2025年底前,全省A级以上旅游景区、省级以上旅游度假区充电设施基本实现全覆盖;乡村旅游景区、民宿等场所结合旅客接待量和充电需求,按照谁管理谁投资的原则配建充电设施,充电服务保障能力进一步提升。(责任单位:省文化和旅游厅、省发展改革委、省农业农村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6" w:beforeAutospacing="0" w:after="616" w:afterAutospacing="0" w:line="520" w:lineRule="exact"/>
        <w:ind w:right="1170" w:firstLine="643" w:firstLineChars="200"/>
        <w:jc w:val="both"/>
        <w:textAlignment w:val="baseline"/>
        <w:rPr>
          <w:rFonts w:hint="eastAsia" w:ascii="仿宋" w:hAnsi="仿宋" w:eastAsia="仿宋" w:cs="仿宋"/>
          <w:sz w:val="32"/>
          <w:szCs w:val="32"/>
        </w:rPr>
      </w:pPr>
      <w:r>
        <w:rPr>
          <w:rFonts w:hint="eastAsia" w:ascii="仿宋" w:hAnsi="仿宋" w:eastAsia="仿宋" w:cs="仿宋"/>
          <w:b/>
          <w:bCs/>
          <w:i w:val="0"/>
          <w:iCs w:val="0"/>
          <w:caps w:val="0"/>
          <w:color w:val="333333"/>
          <w:spacing w:val="0"/>
          <w:sz w:val="32"/>
          <w:szCs w:val="32"/>
          <w:vertAlign w:val="baseline"/>
        </w:rPr>
        <w:t>三、持续提升运营服务水平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6" w:beforeAutospacing="0" w:after="616" w:afterAutospacing="0" w:line="520" w:lineRule="exact"/>
        <w:ind w:right="1170" w:firstLine="640" w:firstLineChars="200"/>
        <w:jc w:val="both"/>
        <w:textAlignment w:val="baseline"/>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vertAlign w:val="baseline"/>
        </w:rPr>
        <w:t>(一)强化智能服务平台管理应用。按照“省级部署、三级应用、多网融合”的架构,进一步升级完善全省充换电设施智能服务管理平台,全社会各类充换电基础设施的动态数据实时接入、静态数据按周频度更新,统一信息交换,提升政府监管和服务能力,促进充电行业健康发展。建立健全充换电基础设施预警、监测及管理机制,完善充电服务APP,提升全省“充电一张网”的智能化、便捷化水平,为充电基础设施规划布局、企业投资建设和居民充电找桩提供可靠支撑。(责任单位:省发展改革委、省交通运输厅、省电力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6" w:beforeAutospacing="0" w:after="616" w:afterAutospacing="0" w:line="520" w:lineRule="exact"/>
        <w:ind w:right="1170" w:firstLine="640" w:firstLineChars="200"/>
        <w:jc w:val="both"/>
        <w:textAlignment w:val="baseline"/>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vertAlign w:val="baseline"/>
        </w:rPr>
        <w:t>(二)鼓励运营运维模式创新。推动社会化建设运营,加快形成统一开放、竞争有序的充电服务市场。全力支持充电运营企业开展居住区充电桩“统建统服”,有偿提供建设、运营、维护等服务。全面推广“一桩多车、临近车位共享”等模式,鼓励专用充电设施对外开放,满足临近居民充电需求。完善充电设施运维体系,提升设施可用率和故障处理能力,推动公共充换电网络运营商平台互联互通,加强信息共享,实现充电资源最大化利用。(责任单位:省发展改革委、省住房城乡建设厅、省交通运输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6" w:beforeAutospacing="0" w:after="616" w:afterAutospacing="0" w:line="520" w:lineRule="exact"/>
        <w:ind w:right="1170" w:firstLine="640" w:firstLineChars="200"/>
        <w:jc w:val="both"/>
        <w:textAlignment w:val="baseline"/>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vertAlign w:val="baseline"/>
        </w:rPr>
        <w:t>(三)加强行业规范管理。电力主管部门要加强对集中式充换电设施配套供电安全管理,及时处理有关违规行为。自然资源部门要优化充换电设施用地报批报建流程,将换电设施和充电站休息室、卫生间等辅助设施纳入城市基础设施建设规划豁免清单统一管理,加大农村地区充换电设施建设用地支持力度。住建、消防救援部门要依据各自职责加强集中充换电场所建设、运营过程中的消防安全监督管理,建立完善居住区充电设施消防安全管理和检查监督机制,开展安全事故调查处理和溯源。市场监管部门要加强对充电市场的监管,适时组织对充电桩进行产品质量抽查检验,及时向社会发布抽查结果;对低价倾销或高价垄断等扰乱市场秩序的恶性竞争行为,要及时约谈相关充电运营企业或充电服务企业,并采取纳入市场黑名单等方式予以惩戒,情节严重的依照有关法律法规追究相应责任。行业协会要及时掌握市场情况,研究制定行业自律相关规定,督促相关企业依法依规、诚信守约经营。鼓励市州出台新能源汽车停车收费优惠政策和公共充电车位专项管理办法,解决油车占位以及新能源车长时间占用充电专用停车位的问题,引导建立良好的充电秩序。(责任单位:省发展改革委、省自然资源厅、省住房城乡建设厅、省市场监管局、省消防救援总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6" w:beforeAutospacing="0" w:after="616" w:afterAutospacing="0" w:line="520" w:lineRule="exact"/>
        <w:ind w:right="1170" w:firstLine="640" w:firstLineChars="200"/>
        <w:jc w:val="both"/>
        <w:textAlignment w:val="baseline"/>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vertAlign w:val="baseline"/>
        </w:rPr>
        <w:t>(四)强化安全监管。加强充电基础设施全生命周期安全管理,强化质量安全、运行安全和信息安全,着力提高可靠性和风险防范水平。全面压实充电运营企业安全生产主体责任,规范运维管理,建立完善安全生产管理制度,鼓励引导投保安全责任保险。严格落实配套供电、集中充电场所安全生产条件,确保符合有关法律法规、国家标准或行业标准规定,加强管理人员安全业务培训,定期对存量充电桩进行隐患排查。强化农村地区充电设施管理,引导农村居民安装使用独立充电桩,并合理配备漏电保护器及接地设备,提升用电安全水平。(责任单位:省发展改革委、省应急厅、省住房城乡建设厅、省消防救援总队、省农业农村厅、省市场监管局、各电网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6" w:beforeAutospacing="0" w:after="616" w:afterAutospacing="0" w:line="520" w:lineRule="exact"/>
        <w:ind w:right="1170" w:firstLine="643" w:firstLineChars="200"/>
        <w:jc w:val="both"/>
        <w:textAlignment w:val="baseline"/>
        <w:rPr>
          <w:rFonts w:hint="eastAsia" w:ascii="仿宋" w:hAnsi="仿宋" w:eastAsia="仿宋" w:cs="仿宋"/>
          <w:sz w:val="32"/>
          <w:szCs w:val="32"/>
        </w:rPr>
      </w:pPr>
      <w:r>
        <w:rPr>
          <w:rFonts w:hint="eastAsia" w:ascii="仿宋" w:hAnsi="仿宋" w:eastAsia="仿宋" w:cs="仿宋"/>
          <w:b/>
          <w:bCs/>
          <w:i w:val="0"/>
          <w:iCs w:val="0"/>
          <w:caps w:val="0"/>
          <w:color w:val="333333"/>
          <w:spacing w:val="0"/>
          <w:sz w:val="32"/>
          <w:szCs w:val="32"/>
          <w:vertAlign w:val="baseline"/>
        </w:rPr>
        <w:t>四、加强科技创新应用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6" w:beforeAutospacing="0" w:after="616" w:afterAutospacing="0" w:line="520" w:lineRule="exact"/>
        <w:ind w:right="1170" w:firstLine="640" w:firstLineChars="200"/>
        <w:jc w:val="both"/>
        <w:textAlignment w:val="baseline"/>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vertAlign w:val="baseline"/>
        </w:rPr>
        <w:t>(一)全面推行智能有序充电技术。严格执行行业统一标准,将智能有序充电技术纳入充电设施和新能源汽车产品功能范围,新售新能源汽车随车配建充电桩和私人新建充电桩必须符合《电动汽车充放电双向互动第1部分:总则》(NB/T11305.1-2023)、《电动汽车充放电双向互动第2部分:有序充电》(NB/T11305.2-2023)和《电动汽车交流有序充电桩通信协议》(Q/GDW12170-2021)要求,推动既有充电设施智能化改造,不断提升充电设施智能化水平。规范用电报装流程,私人新建充电桩应采用智能有序技术,能够同时满足功率控制、时段控制的可观可控要求,支持电网企业安全功率调度和运营商代理参与电力需求侧管理,提升配套电网设备利用效率和供电安全裕度,增强配套电网供电保障能力。(责任单位:省发展改革委、省市场监管局、各电网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6" w:beforeAutospacing="0" w:after="616" w:afterAutospacing="0" w:line="520" w:lineRule="exact"/>
        <w:ind w:right="1170" w:firstLine="640" w:firstLineChars="200"/>
        <w:jc w:val="both"/>
        <w:textAlignment w:val="baseline"/>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vertAlign w:val="baseline"/>
        </w:rPr>
        <w:t>(二)加大充电新技术推广应用。基于大功率充电、电动汽车与电网双向互动(V2G)等技术,打造光储充车网互动一体化示范场站,持续优化快充网络布局,降低场站用能成本。加快推进高速公路及其他重要场景快速充换电、大功率全液冷充电等技术的推广应用。开展“移动共享”充电桩试点,示范应用小直流充电技术,进一步提升社区充电效率。推广普及机械式、立体式、移动式停车充电一体化设施。(责任单位:省发展改革委、省交通运输厅、省科技厅、省电力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6" w:beforeAutospacing="0" w:after="616" w:afterAutospacing="0" w:line="520" w:lineRule="exact"/>
        <w:ind w:right="1170" w:firstLine="640" w:firstLineChars="200"/>
        <w:jc w:val="both"/>
        <w:textAlignment w:val="baseline"/>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vertAlign w:val="baseline"/>
        </w:rPr>
        <w:t>(三)加快智能先进技术研发。充分发挥企业创新主体作用,加快推进快速充换电、大功率充电、智能有序充电、无线充电、光储充协同控制等技术研究,规范指导相关新技术的科技攻关及新产品研制应用。基于电网调度调峰需求,利用电动汽车灵活机动、移动式储能特点,加快试点建设车网互动应用场景,推进商业应用模式研究,与虚拟电厂其他元素共同配合电网安全运行,提升电网安全应急响应能力。(责任单位:省科技厅、省发展改革委、省工业和信息化厅、省电力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6" w:beforeAutospacing="0" w:after="616" w:afterAutospacing="0" w:line="520" w:lineRule="exact"/>
        <w:ind w:right="1170" w:firstLine="643" w:firstLineChars="200"/>
        <w:jc w:val="both"/>
        <w:textAlignment w:val="baseline"/>
        <w:rPr>
          <w:rFonts w:hint="eastAsia" w:ascii="仿宋" w:hAnsi="仿宋" w:eastAsia="仿宋" w:cs="仿宋"/>
          <w:sz w:val="32"/>
          <w:szCs w:val="32"/>
        </w:rPr>
      </w:pPr>
      <w:r>
        <w:rPr>
          <w:rFonts w:hint="eastAsia" w:ascii="仿宋" w:hAnsi="仿宋" w:eastAsia="仿宋" w:cs="仿宋"/>
          <w:b/>
          <w:bCs/>
          <w:i w:val="0"/>
          <w:iCs w:val="0"/>
          <w:caps w:val="0"/>
          <w:color w:val="333333"/>
          <w:spacing w:val="0"/>
          <w:sz w:val="32"/>
          <w:szCs w:val="32"/>
          <w:vertAlign w:val="baseline"/>
        </w:rPr>
        <w:t>五、加大支持保障力度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6" w:beforeAutospacing="0" w:after="616" w:afterAutospacing="0" w:line="520" w:lineRule="exact"/>
        <w:ind w:right="1170" w:firstLine="640" w:firstLineChars="200"/>
        <w:jc w:val="both"/>
        <w:textAlignment w:val="baseline"/>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vertAlign w:val="baseline"/>
        </w:rPr>
        <w:t>(一)压实主体责任。各级政府要切实履行好统筹推进充电基础设施发展的主体责任,建立健全协同推进机制,将充电基础设施建设管理作为完善基础设施和公共服务的重要着力点,特别要对居住区、普通公路沿线等重要应用场景纳入重点民生实事加快推进,不断优化建设环境,加快补齐短板,更好满足人民群众购置和使用新能源汽车需要。充电基础设施建设涉及多场景、多维度,各相关职能部门要加强协同配合,按照职责分工搞好统筹谋划和协调服务,细化工作举措,落实支持政策,形成推进合力。(责任单位:各相关职能部门按职责分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6" w:beforeAutospacing="0" w:after="616" w:afterAutospacing="0" w:line="520" w:lineRule="exact"/>
        <w:ind w:right="1170" w:firstLine="640" w:firstLineChars="200"/>
        <w:jc w:val="both"/>
        <w:textAlignment w:val="baseline"/>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vertAlign w:val="baseline"/>
        </w:rPr>
        <w:t>(二)加大政策支持。调整优化峰谷分时电价政策,引导用户广泛参与智能有序充电和车网互动,鼓励用户低谷时段充电。2030年前,对实行两部制电价的集中式充换电设施用电免收需量(容量)电费。鼓励地方政府及企事业单位分类分场景对充电基础设施建设场地租金实行阶段性减免,研究制定居住区“统建统服”试点工作方案和农村地区公共充电设施建设运营专项支持政策。支持符合条件的充电基础设施申报发行地方政府专项债券。支持符合条件的高速公路及普通国省干线公路服务区(站)、公共汽电车场站和汽车客运站等充换电基础设施项目,申报开发性政策性金融工具。加大对大功率全液冷充电、车网互动等示范类项目的支持力度,通过地方政府专项债券等支持创新应用的推广落地。(责任单位:省发展改革委、省财政厅、省自然资源厅、省住房城乡建设厅、省农业农村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6" w:beforeAutospacing="0" w:after="616" w:afterAutospacing="0" w:line="520" w:lineRule="exact"/>
        <w:ind w:right="1170" w:firstLine="640" w:firstLineChars="200"/>
        <w:jc w:val="both"/>
        <w:textAlignment w:val="baseline"/>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vertAlign w:val="baseline"/>
        </w:rPr>
        <w:t>(三)强化宣传引导。广泛利用各类媒体加强政策解读,宣传普及不同类型新能源汽车和充换电设施的使用、技术、安全等方面知识,引导消费者增强安全意识,遵守充电桩的使用规范。加强舆论监督,积极回应群众诉求,曝光损害消费者权益行为,营造良好的充电市场秩序。(责任单位:各相关职能部门按职责分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6" w:beforeAutospacing="0" w:after="616" w:afterAutospacing="0" w:line="520" w:lineRule="exact"/>
        <w:ind w:right="1170"/>
        <w:jc w:val="both"/>
        <w:textAlignment w:val="baseline"/>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vertAlign w:val="baseline"/>
        </w:rPr>
        <w:t>本文件自公布之日起开始施行。</w:t>
      </w:r>
    </w:p>
    <w:p>
      <w:pPr>
        <w:keepNext w:val="0"/>
        <w:keepLines w:val="0"/>
        <w:pageBreakBefore w:val="0"/>
        <w:widowControl/>
        <w:suppressLineNumbers w:val="0"/>
        <w:pBdr>
          <w:top w:val="none" w:color="auto" w:sz="0" w:space="0"/>
        </w:pBdr>
        <w:kinsoku/>
        <w:wordWrap/>
        <w:overflowPunct/>
        <w:topLinePunct w:val="0"/>
        <w:autoSpaceDE/>
        <w:autoSpaceDN/>
        <w:bidi w:val="0"/>
        <w:adjustRightInd/>
        <w:snapToGrid/>
        <w:spacing w:line="520" w:lineRule="exact"/>
        <w:ind w:left="1170" w:right="1170" w:firstLine="0"/>
        <w:jc w:val="left"/>
        <w:rPr>
          <w:rFonts w:hint="eastAsia" w:ascii="仿宋" w:hAnsi="仿宋" w:eastAsia="仿宋" w:cs="仿宋"/>
          <w:sz w:val="32"/>
          <w:szCs w:val="32"/>
        </w:rPr>
      </w:pPr>
    </w:p>
    <w:sectPr>
      <w:pgSz w:w="11906" w:h="16838"/>
      <w:pgMar w:top="1440" w:right="1349" w:bottom="1440" w:left="134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090529"/>
    <w:multiLevelType w:val="singleLevel"/>
    <w:tmpl w:val="3709052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0NGE1ZDc3OGFhNzlhOTA0ZGViMTIxN2NjZDAzNTQifQ=="/>
    <w:docVar w:name="KSO_WPS_MARK_KEY" w:val="5cd8b26c-87fd-4846-90cf-af7d4f6bd320"/>
  </w:docVars>
  <w:rsids>
    <w:rsidRoot w:val="17EB293C"/>
    <w:rsid w:val="17EB293C"/>
    <w:rsid w:val="745A6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2023-12-29T06:17:00Z</dcterms:created>
  <dc:creator>doudou</dc:creator>
  <cp:lastModifiedBy>文子。。</cp:lastModifiedBy>
  <cp:lastPrinted>2023-12-29T06:21:00Z</cp:lastPrinted>
  <dcterms:modified xsi:type="dcterms:W3CDTF">2023-12-29T07:00:05Z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FD7A23C4D3E14F52ACCBE2FED3F3C8BC_11</vt:lpwstr>
  </property>
</Properties>
</file>